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5DDA" w14:textId="35A11BB9" w:rsidR="00D76770" w:rsidRPr="00081B6E" w:rsidRDefault="00EA4EEA" w:rsidP="0006464B">
      <w:pPr>
        <w:pStyle w:val="Heading1"/>
        <w:spacing w:line="360" w:lineRule="auto"/>
      </w:pPr>
      <w:r>
        <w:rPr>
          <w:rStyle w:val="Heading2Char"/>
        </w:rPr>
        <w:t xml:space="preserve">SPEVI Conference 2025 - </w:t>
      </w:r>
      <w:r w:rsidR="00984CA0" w:rsidRPr="00EA4EEA">
        <w:rPr>
          <w:rStyle w:val="Heading2Char"/>
        </w:rPr>
        <w:t>Exhibitors</w:t>
      </w:r>
      <w:r>
        <w:rPr>
          <w:rStyle w:val="Heading2Char"/>
        </w:rPr>
        <w:t>’</w:t>
      </w:r>
      <w:r w:rsidR="00FF0F1C" w:rsidRPr="00EA4EEA">
        <w:rPr>
          <w:rStyle w:val="Heading2Char"/>
        </w:rPr>
        <w:t xml:space="preserve"> Opportunities</w:t>
      </w:r>
    </w:p>
    <w:p w14:paraId="7DB781B4" w14:textId="77777777" w:rsidR="00147B49" w:rsidRPr="00EA4EEA" w:rsidRDefault="00147B49" w:rsidP="0006464B">
      <w:pPr>
        <w:pStyle w:val="Heading2"/>
        <w:spacing w:line="360" w:lineRule="auto"/>
      </w:pPr>
      <w:r w:rsidRPr="00EA4EEA">
        <w:t>Location</w:t>
      </w:r>
    </w:p>
    <w:p w14:paraId="08A7044E" w14:textId="4B1B49E0" w:rsidR="00147B49" w:rsidRPr="00081B6E" w:rsidRDefault="00147B49" w:rsidP="0006464B">
      <w:pPr>
        <w:spacing w:line="360" w:lineRule="auto"/>
        <w:rPr>
          <w:rFonts w:cs="Arial"/>
          <w:szCs w:val="24"/>
        </w:rPr>
      </w:pPr>
      <w:r w:rsidRPr="00081B6E">
        <w:rPr>
          <w:rFonts w:cs="Arial"/>
          <w:szCs w:val="24"/>
        </w:rPr>
        <w:t>You are invited to set up an exhibition in the foyer of the conference venue at University of Southern Queensland (</w:t>
      </w:r>
      <w:proofErr w:type="spellStart"/>
      <w:r w:rsidRPr="00081B6E">
        <w:rPr>
          <w:rFonts w:cs="Arial"/>
          <w:szCs w:val="24"/>
        </w:rPr>
        <w:t>UniSQ</w:t>
      </w:r>
      <w:proofErr w:type="spellEnd"/>
      <w:r w:rsidRPr="00081B6E">
        <w:rPr>
          <w:rFonts w:cs="Arial"/>
          <w:szCs w:val="24"/>
        </w:rPr>
        <w:t>) Brisbane campus, 293 Queen Street, Brisbane - a five-minute walk to Central Station and easy access to bus and ferry stops.</w:t>
      </w:r>
    </w:p>
    <w:p w14:paraId="734F5754" w14:textId="6980383C" w:rsidR="00147B49" w:rsidRPr="00081B6E" w:rsidRDefault="00FF0F1C" w:rsidP="0006464B">
      <w:pPr>
        <w:spacing w:line="360" w:lineRule="auto"/>
        <w:rPr>
          <w:rFonts w:cs="Arial"/>
          <w:szCs w:val="24"/>
        </w:rPr>
      </w:pPr>
      <w:r w:rsidRPr="00081B6E">
        <w:rPr>
          <w:rFonts w:cs="Arial"/>
          <w:szCs w:val="24"/>
        </w:rPr>
        <w:t>Th</w:t>
      </w:r>
      <w:r w:rsidR="00651C42" w:rsidRPr="00081B6E">
        <w:rPr>
          <w:rFonts w:cs="Arial"/>
          <w:szCs w:val="24"/>
        </w:rPr>
        <w:t>e exhibition</w:t>
      </w:r>
      <w:r w:rsidRPr="00081B6E">
        <w:rPr>
          <w:rFonts w:cs="Arial"/>
          <w:szCs w:val="24"/>
        </w:rPr>
        <w:t xml:space="preserve"> space </w:t>
      </w:r>
      <w:proofErr w:type="gramStart"/>
      <w:r w:rsidR="00651C42" w:rsidRPr="00081B6E">
        <w:rPr>
          <w:rFonts w:cs="Arial"/>
          <w:szCs w:val="24"/>
        </w:rPr>
        <w:t xml:space="preserve">is </w:t>
      </w:r>
      <w:r w:rsidR="00512C09" w:rsidRPr="00081B6E">
        <w:rPr>
          <w:rFonts w:cs="Arial"/>
          <w:szCs w:val="24"/>
        </w:rPr>
        <w:t xml:space="preserve">located </w:t>
      </w:r>
      <w:r w:rsidR="00147B49" w:rsidRPr="00081B6E">
        <w:rPr>
          <w:rFonts w:cs="Arial"/>
          <w:szCs w:val="24"/>
        </w:rPr>
        <w:t>in</w:t>
      </w:r>
      <w:proofErr w:type="gramEnd"/>
      <w:r w:rsidR="00147B49" w:rsidRPr="00081B6E">
        <w:rPr>
          <w:rFonts w:cs="Arial"/>
          <w:szCs w:val="24"/>
        </w:rPr>
        <w:t xml:space="preserve"> the foyer </w:t>
      </w:r>
      <w:r w:rsidR="00651C42" w:rsidRPr="00081B6E">
        <w:rPr>
          <w:rFonts w:cs="Arial"/>
          <w:szCs w:val="24"/>
        </w:rPr>
        <w:t xml:space="preserve">on </w:t>
      </w:r>
      <w:r w:rsidR="00EA4EEA">
        <w:rPr>
          <w:rFonts w:cs="Arial"/>
          <w:szCs w:val="24"/>
        </w:rPr>
        <w:t>the ground floor</w:t>
      </w:r>
      <w:r w:rsidR="00651C42" w:rsidRPr="00081B6E">
        <w:rPr>
          <w:rFonts w:cs="Arial"/>
          <w:szCs w:val="24"/>
        </w:rPr>
        <w:t>,</w:t>
      </w:r>
      <w:r w:rsidR="00512C09" w:rsidRPr="00081B6E">
        <w:rPr>
          <w:rFonts w:cs="Arial"/>
          <w:szCs w:val="24"/>
        </w:rPr>
        <w:t xml:space="preserve"> </w:t>
      </w:r>
      <w:r w:rsidR="00651C42" w:rsidRPr="00081B6E">
        <w:rPr>
          <w:rFonts w:cs="Arial"/>
          <w:szCs w:val="24"/>
        </w:rPr>
        <w:t xml:space="preserve">between the plenary seminar room and the </w:t>
      </w:r>
      <w:r w:rsidR="00512C09" w:rsidRPr="00081B6E">
        <w:rPr>
          <w:rFonts w:cs="Arial"/>
          <w:szCs w:val="24"/>
        </w:rPr>
        <w:t>area</w:t>
      </w:r>
      <w:r w:rsidR="00651C42" w:rsidRPr="00081B6E">
        <w:rPr>
          <w:rFonts w:cs="Arial"/>
          <w:szCs w:val="24"/>
        </w:rPr>
        <w:t xml:space="preserve"> where </w:t>
      </w:r>
      <w:r w:rsidR="00147B49" w:rsidRPr="00081B6E">
        <w:rPr>
          <w:rFonts w:cs="Arial"/>
          <w:szCs w:val="24"/>
        </w:rPr>
        <w:t>conference delegates will assemble for morning and afternoon teas, lunch</w:t>
      </w:r>
      <w:r w:rsidR="005505B3" w:rsidRPr="00081B6E">
        <w:rPr>
          <w:rFonts w:cs="Arial"/>
          <w:szCs w:val="24"/>
        </w:rPr>
        <w:t>,</w:t>
      </w:r>
      <w:r w:rsidR="00147B49" w:rsidRPr="00081B6E">
        <w:rPr>
          <w:rFonts w:cs="Arial"/>
          <w:szCs w:val="24"/>
        </w:rPr>
        <w:t xml:space="preserve"> and during other conference breaks</w:t>
      </w:r>
      <w:r w:rsidR="005505B3" w:rsidRPr="00081B6E">
        <w:rPr>
          <w:rFonts w:cs="Arial"/>
          <w:szCs w:val="24"/>
        </w:rPr>
        <w:t>,</w:t>
      </w:r>
      <w:r w:rsidR="00147B49" w:rsidRPr="00081B6E">
        <w:rPr>
          <w:rFonts w:cs="Arial"/>
          <w:szCs w:val="24"/>
        </w:rPr>
        <w:t xml:space="preserve"> ensuring u</w:t>
      </w:r>
      <w:r w:rsidRPr="00081B6E">
        <w:rPr>
          <w:rFonts w:cs="Arial"/>
          <w:szCs w:val="24"/>
        </w:rPr>
        <w:t>nparallel</w:t>
      </w:r>
      <w:r w:rsidR="00147B49" w:rsidRPr="00081B6E">
        <w:rPr>
          <w:rFonts w:cs="Arial"/>
          <w:szCs w:val="24"/>
        </w:rPr>
        <w:t>ed</w:t>
      </w:r>
      <w:r w:rsidRPr="00081B6E">
        <w:rPr>
          <w:rFonts w:cs="Arial"/>
          <w:szCs w:val="24"/>
        </w:rPr>
        <w:t xml:space="preserve"> </w:t>
      </w:r>
      <w:r w:rsidR="00651C42" w:rsidRPr="00081B6E">
        <w:rPr>
          <w:rFonts w:cs="Arial"/>
          <w:szCs w:val="24"/>
        </w:rPr>
        <w:t>foot traffic</w:t>
      </w:r>
      <w:r w:rsidRPr="00081B6E">
        <w:rPr>
          <w:rFonts w:cs="Arial"/>
          <w:szCs w:val="24"/>
        </w:rPr>
        <w:t xml:space="preserve"> each day. </w:t>
      </w:r>
    </w:p>
    <w:p w14:paraId="55F8EBA7" w14:textId="6D557B22" w:rsidR="00287778" w:rsidRDefault="00000000" w:rsidP="0006464B">
      <w:pPr>
        <w:spacing w:line="360" w:lineRule="auto"/>
        <w:rPr>
          <w:rFonts w:cs="Arial"/>
          <w:color w:val="272727"/>
          <w:szCs w:val="24"/>
          <w:shd w:val="clear" w:color="auto" w:fill="FFFFFF"/>
        </w:rPr>
      </w:pPr>
      <w:hyperlink r:id="rId7" w:history="1">
        <w:r w:rsidR="00147B49" w:rsidRPr="00081B6E">
          <w:rPr>
            <w:rStyle w:val="Hyperlink"/>
            <w:rFonts w:cs="Arial"/>
            <w:szCs w:val="24"/>
            <w:shd w:val="clear" w:color="auto" w:fill="FFFFFF"/>
          </w:rPr>
          <w:t>Maps and photos</w:t>
        </w:r>
      </w:hyperlink>
      <w:r w:rsidR="00205CB3" w:rsidRPr="00081B6E">
        <w:rPr>
          <w:rFonts w:cs="Arial"/>
          <w:color w:val="272727"/>
          <w:szCs w:val="24"/>
          <w:shd w:val="clear" w:color="auto" w:fill="FFFFFF"/>
        </w:rPr>
        <w:t xml:space="preserve"> (Ground floor, section C).</w:t>
      </w:r>
    </w:p>
    <w:p w14:paraId="4D955062" w14:textId="39DA5373" w:rsidR="002F6FA3" w:rsidRPr="00081B6E" w:rsidRDefault="00000000" w:rsidP="0006464B">
      <w:pPr>
        <w:spacing w:line="360" w:lineRule="auto"/>
        <w:rPr>
          <w:rFonts w:cs="Arial"/>
          <w:color w:val="272727"/>
          <w:szCs w:val="24"/>
          <w:shd w:val="clear" w:color="auto" w:fill="FFFFFF"/>
        </w:rPr>
      </w:pPr>
      <w:hyperlink r:id="rId8" w:history="1">
        <w:proofErr w:type="spellStart"/>
        <w:r w:rsidR="002F6FA3">
          <w:rPr>
            <w:rStyle w:val="Hyperlink"/>
          </w:rPr>
          <w:t>UniSQ</w:t>
        </w:r>
        <w:proofErr w:type="spellEnd"/>
        <w:r w:rsidR="002F6FA3">
          <w:rPr>
            <w:rStyle w:val="Hyperlink"/>
          </w:rPr>
          <w:t xml:space="preserve"> Brisbane Ground Floor map</w:t>
        </w:r>
      </w:hyperlink>
    </w:p>
    <w:p w14:paraId="41E92A62" w14:textId="3B79EB44" w:rsidR="00651C42" w:rsidRPr="00081B6E" w:rsidRDefault="00205CB3" w:rsidP="0006464B">
      <w:pPr>
        <w:pStyle w:val="Heading2"/>
        <w:spacing w:line="360" w:lineRule="auto"/>
        <w:rPr>
          <w:rFonts w:eastAsia="Times New Roman" w:cs="Arial"/>
          <w:b/>
          <w:bCs/>
          <w:color w:val="000000"/>
          <w:kern w:val="0"/>
          <w:szCs w:val="24"/>
          <w:lang w:eastAsia="en-AU"/>
          <w14:ligatures w14:val="none"/>
        </w:rPr>
      </w:pPr>
      <w:r w:rsidRPr="00081B6E">
        <w:br/>
      </w:r>
      <w:r w:rsidR="00651C42" w:rsidRPr="00081B6E">
        <w:rPr>
          <w:rFonts w:eastAsia="Times New Roman" w:cs="Arial"/>
          <w:b/>
          <w:bCs/>
          <w:color w:val="000000"/>
          <w:kern w:val="0"/>
          <w:szCs w:val="24"/>
          <w:lang w:eastAsia="en-AU"/>
          <w14:ligatures w14:val="none"/>
        </w:rPr>
        <w:t>All Exhibitor Registration Packages Include:</w:t>
      </w:r>
    </w:p>
    <w:p w14:paraId="46FE0366" w14:textId="42A19375" w:rsidR="00651C42" w:rsidRPr="00081B6E" w:rsidRDefault="00651C42" w:rsidP="00064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An open forum with all conference delegates during </w:t>
      </w:r>
      <w:r w:rsidR="00205CB3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the 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conference</w:t>
      </w:r>
      <w:r w:rsidR="00205CB3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and 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during the </w:t>
      </w:r>
      <w:r w:rsidR="00CF4110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Welcome event with movie screening of “Possibilities” (more information can be found </w:t>
      </w:r>
      <w:hyperlink r:id="rId9" w:history="1">
        <w:r w:rsidR="00CF4110" w:rsidRPr="00CF4110">
          <w:rPr>
            <w:rStyle w:val="Hyperlink"/>
            <w:rFonts w:eastAsia="Times New Roman" w:cs="Arial"/>
            <w:kern w:val="0"/>
            <w:szCs w:val="24"/>
            <w:lang w:eastAsia="en-AU"/>
            <w14:ligatures w14:val="none"/>
          </w:rPr>
          <w:t>here)</w:t>
        </w:r>
      </w:hyperlink>
      <w:r w:rsidR="00CF4110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on Monday evening</w:t>
      </w:r>
    </w:p>
    <w:p w14:paraId="19D54BA8" w14:textId="06FECB78" w:rsidR="00651C42" w:rsidRPr="00081B6E" w:rsidRDefault="00651C42" w:rsidP="00064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Participation in an exhibitor interactive competition</w:t>
      </w:r>
      <w:r w:rsidR="009B2258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, for which you are invited to donate gifts promoting your product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.</w:t>
      </w:r>
    </w:p>
    <w:p w14:paraId="0D2B489E" w14:textId="7133C2C0" w:rsidR="00A6626C" w:rsidRPr="00081B6E" w:rsidRDefault="00A6626C" w:rsidP="00064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Inclusion of your logo on the SPEVI 2025 Conference website</w:t>
      </w:r>
    </w:p>
    <w:p w14:paraId="322CE9E2" w14:textId="77777777" w:rsidR="00640A60" w:rsidRPr="00081B6E" w:rsidRDefault="00640A60" w:rsidP="00064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cs="Arial"/>
          <w:szCs w:val="24"/>
        </w:rPr>
      </w:pPr>
      <w:r w:rsidRPr="00081B6E">
        <w:rPr>
          <w:rFonts w:cs="Arial"/>
          <w:color w:val="000000"/>
          <w:szCs w:val="24"/>
        </w:rPr>
        <w:t>Acknowledgement in the digital conference book (1/4 A4)</w:t>
      </w:r>
    </w:p>
    <w:p w14:paraId="2CBBBC57" w14:textId="06DB9D44" w:rsidR="00287778" w:rsidRPr="00081B6E" w:rsidRDefault="00BC34A3" w:rsidP="00064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cs="Arial"/>
          <w:szCs w:val="24"/>
        </w:rPr>
      </w:pPr>
      <w:r w:rsidRPr="00081B6E">
        <w:rPr>
          <w:rFonts w:cs="Arial"/>
          <w:szCs w:val="24"/>
        </w:rPr>
        <w:t>T</w:t>
      </w:r>
      <w:r w:rsidR="00287778" w:rsidRPr="00081B6E">
        <w:rPr>
          <w:rFonts w:cs="Arial"/>
          <w:szCs w:val="24"/>
        </w:rPr>
        <w:t xml:space="preserve">restle tables and chairs to allow you to display banners, resources and equipment. </w:t>
      </w:r>
    </w:p>
    <w:p w14:paraId="48229FB2" w14:textId="7696E79B" w:rsidR="00287778" w:rsidRPr="00081B6E" w:rsidRDefault="00287778" w:rsidP="0006464B">
      <w:pPr>
        <w:spacing w:line="360" w:lineRule="auto"/>
        <w:rPr>
          <w:rFonts w:cs="Arial"/>
          <w:szCs w:val="24"/>
        </w:rPr>
      </w:pPr>
      <w:r w:rsidRPr="00081B6E">
        <w:rPr>
          <w:rFonts w:cs="Arial"/>
          <w:szCs w:val="24"/>
        </w:rPr>
        <w:t>Please select from the following 2 exhibition options.</w:t>
      </w:r>
    </w:p>
    <w:p w14:paraId="035C111B" w14:textId="77777777" w:rsidR="00205CB3" w:rsidRPr="00081B6E" w:rsidRDefault="00205CB3" w:rsidP="0006464B">
      <w:pPr>
        <w:shd w:val="clear" w:color="auto" w:fill="FFFFFF"/>
        <w:spacing w:beforeAutospacing="1" w:after="0" w:afterAutospacing="1" w:line="360" w:lineRule="auto"/>
        <w:textAlignment w:val="baseline"/>
        <w:outlineLvl w:val="2"/>
        <w:rPr>
          <w:rFonts w:eastAsia="Times New Roman" w:cs="Arial"/>
          <w:b/>
          <w:bCs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Level 2 Exhibitor Registration Package ($2250) also includes:</w:t>
      </w:r>
    </w:p>
    <w:p w14:paraId="7E08EC35" w14:textId="296849FD" w:rsidR="00205CB3" w:rsidRPr="00081B6E" w:rsidRDefault="00205CB3" w:rsidP="0006464B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lastRenderedPageBreak/>
        <w:t>Full conference registration for </w:t>
      </w:r>
      <w:r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two representatives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 for Monday, Tuesday, and Wednesday including lunch on each of these days, the </w:t>
      </w:r>
      <w:r w:rsidR="008B6D20" w:rsidRPr="008B6D20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Welcome event with movie screening of “Possibilities” (Monday night)</w:t>
      </w:r>
      <w:r w:rsidR="008B6D20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and Conference Dinner</w:t>
      </w:r>
      <w:r w:rsidR="00081B6E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(Brisbane River Dinner Cruise).</w:t>
      </w:r>
    </w:p>
    <w:p w14:paraId="375A9E52" w14:textId="77777777" w:rsidR="00205CB3" w:rsidRPr="00081B6E" w:rsidRDefault="00205CB3" w:rsidP="0006464B">
      <w:pPr>
        <w:numPr>
          <w:ilvl w:val="0"/>
          <w:numId w:val="3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A</w:t>
      </w:r>
      <w:r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 double length display table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 (with access to power) </w:t>
      </w:r>
    </w:p>
    <w:p w14:paraId="26C41937" w14:textId="77777777" w:rsidR="00651C42" w:rsidRPr="00081B6E" w:rsidRDefault="00651C42" w:rsidP="0006464B">
      <w:pPr>
        <w:shd w:val="clear" w:color="auto" w:fill="FFFFFF"/>
        <w:spacing w:beforeAutospacing="1" w:after="0" w:afterAutospacing="1" w:line="360" w:lineRule="auto"/>
        <w:textAlignment w:val="baseline"/>
        <w:outlineLvl w:val="2"/>
        <w:rPr>
          <w:rFonts w:eastAsia="Times New Roman" w:cs="Arial"/>
          <w:b/>
          <w:bCs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Level 1 Exhibitor Registration Package ($1250) also includes:</w:t>
      </w:r>
    </w:p>
    <w:p w14:paraId="4C081AC3" w14:textId="50D0A585" w:rsidR="00651C42" w:rsidRPr="00081B6E" w:rsidRDefault="00651C42" w:rsidP="0006464B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Full conference registration for </w:t>
      </w:r>
      <w:r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one representative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 for Monday</w:t>
      </w:r>
      <w:r w:rsidR="005C380F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, 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Tuesday,</w:t>
      </w:r>
      <w:r w:rsidR="005C380F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and Wednesday</w:t>
      </w:r>
      <w:r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 including lunch on each of these days, the </w:t>
      </w:r>
      <w:r w:rsidR="008B6D20" w:rsidRPr="008B6D20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Welcome event with movie screening of “Possibilities” (Monday night). </w:t>
      </w:r>
      <w:r w:rsidR="00081B6E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Please note, this does not include the Conference Dinner Cruise.</w:t>
      </w:r>
    </w:p>
    <w:p w14:paraId="3DD8F439" w14:textId="5EBA3C67" w:rsidR="00205CB3" w:rsidRDefault="003573CE" w:rsidP="0006464B">
      <w:pPr>
        <w:numPr>
          <w:ilvl w:val="0"/>
          <w:numId w:val="2"/>
        </w:num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A836F0F" wp14:editId="7D298405">
            <wp:simplePos x="0" y="0"/>
            <wp:positionH relativeFrom="margin">
              <wp:posOffset>-887506</wp:posOffset>
            </wp:positionH>
            <wp:positionV relativeFrom="margin">
              <wp:posOffset>3370916</wp:posOffset>
            </wp:positionV>
            <wp:extent cx="7616825" cy="1903095"/>
            <wp:effectExtent l="0" t="0" r="3175" b="1905"/>
            <wp:wrapSquare wrapText="bothSides"/>
            <wp:docPr id="1125644801" name="Picture 1" descr="A collage of men with sun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44801" name="Picture 1" descr="A collage of men with sunglass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C42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>A</w:t>
      </w:r>
      <w:r w:rsidR="00651C42" w:rsidRPr="00081B6E">
        <w:rPr>
          <w:rFonts w:eastAsia="Times New Roman" w:cs="Arial"/>
          <w:b/>
          <w:bCs/>
          <w:color w:val="000000"/>
          <w:kern w:val="0"/>
          <w:szCs w:val="24"/>
          <w:bdr w:val="none" w:sz="0" w:space="0" w:color="auto" w:frame="1"/>
          <w:lang w:eastAsia="en-AU"/>
          <w14:ligatures w14:val="none"/>
        </w:rPr>
        <w:t> single length display table</w:t>
      </w:r>
      <w:r w:rsidR="00651C42" w:rsidRPr="00081B6E"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  <w:t xml:space="preserve"> (with access to power) </w:t>
      </w:r>
    </w:p>
    <w:p w14:paraId="022C2B9E" w14:textId="5E1174C9" w:rsidR="003573CE" w:rsidRDefault="003573CE" w:rsidP="00BD256C">
      <w:pPr>
        <w:shd w:val="clear" w:color="auto" w:fill="FFFFFF"/>
        <w:spacing w:beforeAutospacing="1" w:after="0" w:afterAutospacing="1" w:line="360" w:lineRule="auto"/>
        <w:textAlignment w:val="baseline"/>
      </w:pPr>
    </w:p>
    <w:p w14:paraId="28E3D015" w14:textId="77777777" w:rsidR="003573CE" w:rsidRDefault="003573CE" w:rsidP="003573CE">
      <w:pPr>
        <w:pStyle w:val="Heading2"/>
        <w:spacing w:before="0" w:after="0" w:line="360" w:lineRule="auto"/>
        <w:rPr>
          <w:rFonts w:ascii="Arial" w:eastAsiaTheme="minorHAnsi" w:hAnsi="Arial" w:cs="Arial"/>
          <w:color w:val="auto"/>
          <w:sz w:val="22"/>
          <w:szCs w:val="22"/>
        </w:rPr>
      </w:pPr>
      <w:r w:rsidRPr="00C155D7">
        <w:rPr>
          <w:rFonts w:ascii="Arial" w:eastAsiaTheme="minorHAnsi" w:hAnsi="Arial" w:cs="Arial"/>
          <w:color w:val="auto"/>
          <w:sz w:val="22"/>
          <w:szCs w:val="22"/>
        </w:rPr>
        <w:t xml:space="preserve">“Possibilities is a documentary film celebrating the legacy of Helen Keller as told through the shared stories of 21st-century voices. Possibilities is a co-production of the American Foundation for the Blind (AFB) and </w:t>
      </w:r>
      <w:proofErr w:type="spellStart"/>
      <w:r w:rsidRPr="00C155D7">
        <w:rPr>
          <w:rFonts w:ascii="Arial" w:eastAsiaTheme="minorHAnsi" w:hAnsi="Arial" w:cs="Arial"/>
          <w:color w:val="auto"/>
          <w:sz w:val="22"/>
          <w:szCs w:val="22"/>
        </w:rPr>
        <w:t>BeachGlass</w:t>
      </w:r>
      <w:proofErr w:type="spellEnd"/>
      <w:r w:rsidRPr="00C155D7">
        <w:rPr>
          <w:rFonts w:ascii="Arial" w:eastAsiaTheme="minorHAnsi" w:hAnsi="Arial" w:cs="Arial"/>
          <w:color w:val="auto"/>
          <w:sz w:val="22"/>
          <w:szCs w:val="22"/>
        </w:rPr>
        <w:t xml:space="preserve"> Films. The film’s director, Bill Sarine, brought together a collaborative team comprised of both blind and sighted individuals. The full-length documentary proudly stands as the first widely released film to offer open audio description, ensuring accessibility for all audiences.”</w:t>
      </w:r>
    </w:p>
    <w:p w14:paraId="46B273AB" w14:textId="77777777" w:rsidR="003573CE" w:rsidRPr="00C155D7" w:rsidRDefault="003573CE" w:rsidP="003573CE"/>
    <w:p w14:paraId="470C503F" w14:textId="77777777" w:rsidR="003573CE" w:rsidRDefault="003573CE" w:rsidP="003573CE">
      <w:pPr>
        <w:pStyle w:val="Heading2"/>
        <w:spacing w:before="0" w:after="0" w:line="360" w:lineRule="auto"/>
        <w:rPr>
          <w:rFonts w:ascii="Arial" w:eastAsiaTheme="minorHAnsi" w:hAnsi="Arial" w:cs="Arial"/>
          <w:color w:val="auto"/>
          <w:sz w:val="22"/>
          <w:szCs w:val="22"/>
        </w:rPr>
      </w:pPr>
      <w:r w:rsidRPr="00C155D7">
        <w:rPr>
          <w:rFonts w:ascii="Arial" w:eastAsiaTheme="minorHAnsi" w:hAnsi="Arial" w:cs="Arial"/>
          <w:color w:val="auto"/>
          <w:sz w:val="22"/>
          <w:szCs w:val="22"/>
        </w:rPr>
        <w:t>To watch the trailer, click here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: </w:t>
      </w:r>
      <w:hyperlink r:id="rId11" w:history="1">
        <w:r w:rsidRPr="00C155D7">
          <w:rPr>
            <w:rStyle w:val="Hyperlink"/>
            <w:rFonts w:ascii="Arial" w:eastAsiaTheme="minorHAnsi" w:hAnsi="Arial" w:cs="Arial"/>
            <w:sz w:val="22"/>
            <w:szCs w:val="22"/>
          </w:rPr>
          <w:t>https://youtu.be/L</w:t>
        </w:r>
      </w:hyperlink>
      <w:hyperlink r:id="rId12" w:tgtFrame="_blank" w:history="1">
        <w:r w:rsidRPr="00C155D7">
          <w:rPr>
            <w:rStyle w:val="Hyperlink"/>
            <w:rFonts w:ascii="Arial" w:eastAsiaTheme="minorHAnsi" w:hAnsi="Arial" w:cs="Arial"/>
            <w:sz w:val="22"/>
            <w:szCs w:val="22"/>
          </w:rPr>
          <w:t>AtNeaxzHew?si=QrwIGmO_MO5CD8PP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3E6F54A8" w14:textId="77777777" w:rsidR="003573CE" w:rsidRPr="00C155D7" w:rsidRDefault="003573CE" w:rsidP="003573CE"/>
    <w:p w14:paraId="500F8DB8" w14:textId="77777777" w:rsidR="003573CE" w:rsidRPr="00C155D7" w:rsidRDefault="003573CE" w:rsidP="003573CE">
      <w:pPr>
        <w:pStyle w:val="Heading2"/>
        <w:spacing w:before="0" w:after="0" w:line="360" w:lineRule="auto"/>
        <w:rPr>
          <w:rFonts w:ascii="Arial" w:eastAsiaTheme="minorHAnsi" w:hAnsi="Arial" w:cs="Arial"/>
          <w:color w:val="auto"/>
          <w:sz w:val="22"/>
          <w:szCs w:val="22"/>
        </w:rPr>
      </w:pPr>
      <w:r w:rsidRPr="00C155D7">
        <w:rPr>
          <w:rFonts w:ascii="Arial" w:eastAsiaTheme="minorHAnsi" w:hAnsi="Arial" w:cs="Arial"/>
          <w:color w:val="auto"/>
          <w:sz w:val="22"/>
          <w:szCs w:val="22"/>
        </w:rPr>
        <w:lastRenderedPageBreak/>
        <w:t xml:space="preserve">This is a free event for registrants of the SPEVI 2025 Conference. For all details, please refer to the </w:t>
      </w:r>
      <w:r>
        <w:rPr>
          <w:rFonts w:ascii="Arial" w:eastAsiaTheme="minorHAnsi" w:hAnsi="Arial" w:cs="Arial"/>
          <w:color w:val="auto"/>
          <w:sz w:val="22"/>
          <w:szCs w:val="22"/>
        </w:rPr>
        <w:t xml:space="preserve">website: </w:t>
      </w:r>
      <w:hyperlink r:id="rId13" w:history="1">
        <w:r w:rsidRPr="005F0B81">
          <w:rPr>
            <w:rStyle w:val="Hyperlink"/>
            <w:rFonts w:ascii="Arial" w:eastAsiaTheme="minorHAnsi" w:hAnsi="Arial" w:cs="Arial"/>
            <w:sz w:val="22"/>
            <w:szCs w:val="22"/>
          </w:rPr>
          <w:t>https://www.speviconference.net/registration/</w:t>
        </w:r>
      </w:hyperlink>
      <w:r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40408683" w14:textId="77777777" w:rsidR="003573CE" w:rsidRDefault="003573CE" w:rsidP="00BD256C">
      <w:pPr>
        <w:shd w:val="clear" w:color="auto" w:fill="FFFFFF"/>
        <w:spacing w:beforeAutospacing="1" w:after="0" w:afterAutospacing="1" w:line="360" w:lineRule="auto"/>
        <w:textAlignment w:val="baseline"/>
      </w:pPr>
    </w:p>
    <w:p w14:paraId="3B37F641" w14:textId="7391ED10" w:rsidR="00BD256C" w:rsidRPr="00081B6E" w:rsidRDefault="00BD256C" w:rsidP="00BD256C">
      <w:pPr>
        <w:shd w:val="clear" w:color="auto" w:fill="FFFFFF"/>
        <w:spacing w:beforeAutospacing="1" w:after="0" w:afterAutospacing="1" w:line="360" w:lineRule="auto"/>
        <w:textAlignment w:val="baseline"/>
        <w:rPr>
          <w:rFonts w:eastAsia="Times New Roman" w:cs="Arial"/>
          <w:color w:val="000000"/>
          <w:kern w:val="0"/>
          <w:szCs w:val="24"/>
          <w:lang w:eastAsia="en-AU"/>
          <w14:ligatures w14:val="none"/>
        </w:rPr>
      </w:pPr>
      <w:r>
        <w:t xml:space="preserve">For </w:t>
      </w:r>
      <w:proofErr w:type="spellStart"/>
      <w:r>
        <w:t>inquires</w:t>
      </w:r>
      <w:proofErr w:type="spellEnd"/>
      <w:r>
        <w:t xml:space="preserve">, please contact: </w:t>
      </w:r>
      <w:hyperlink r:id="rId14" w:history="1">
        <w:r>
          <w:rPr>
            <w:rStyle w:val="Hyperlink"/>
          </w:rPr>
          <w:t>admin@speviconference.net</w:t>
        </w:r>
      </w:hyperlink>
    </w:p>
    <w:sectPr w:rsidR="00BD256C" w:rsidRPr="00081B6E" w:rsidSect="0006464B">
      <w:headerReference w:type="default" r:id="rId15"/>
      <w:pgSz w:w="11906" w:h="16838"/>
      <w:pgMar w:top="851" w:right="1440" w:bottom="1440" w:left="144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AC77" w14:textId="77777777" w:rsidR="003800AF" w:rsidRDefault="003800AF" w:rsidP="00EA4EEA">
      <w:pPr>
        <w:spacing w:after="0" w:line="240" w:lineRule="auto"/>
      </w:pPr>
      <w:r>
        <w:separator/>
      </w:r>
    </w:p>
  </w:endnote>
  <w:endnote w:type="continuationSeparator" w:id="0">
    <w:p w14:paraId="0E17FCC4" w14:textId="77777777" w:rsidR="003800AF" w:rsidRDefault="003800AF" w:rsidP="00EA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2792" w14:textId="77777777" w:rsidR="003800AF" w:rsidRDefault="003800AF" w:rsidP="00EA4EEA">
      <w:pPr>
        <w:spacing w:after="0" w:line="240" w:lineRule="auto"/>
      </w:pPr>
      <w:r>
        <w:separator/>
      </w:r>
    </w:p>
  </w:footnote>
  <w:footnote w:type="continuationSeparator" w:id="0">
    <w:p w14:paraId="72B4F17F" w14:textId="77777777" w:rsidR="003800AF" w:rsidRDefault="003800AF" w:rsidP="00EA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823A" w14:textId="4A6ADE10" w:rsidR="0006464B" w:rsidRDefault="000646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D5F22B" wp14:editId="6F106596">
          <wp:simplePos x="0" y="0"/>
          <wp:positionH relativeFrom="margin">
            <wp:posOffset>-890270</wp:posOffset>
          </wp:positionH>
          <wp:positionV relativeFrom="margin">
            <wp:posOffset>-1610360</wp:posOffset>
          </wp:positionV>
          <wp:extent cx="7535545" cy="1430655"/>
          <wp:effectExtent l="0" t="0" r="0" b="4445"/>
          <wp:wrapSquare wrapText="bothSides"/>
          <wp:docPr id="1815107445" name="Picture 2" descr="A blue dot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107445" name="Picture 2" descr="A blue dot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45" cy="1430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5755"/>
    <w:multiLevelType w:val="multilevel"/>
    <w:tmpl w:val="4A1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C4434"/>
    <w:multiLevelType w:val="multilevel"/>
    <w:tmpl w:val="90B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159A8"/>
    <w:multiLevelType w:val="multilevel"/>
    <w:tmpl w:val="A79C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C725F"/>
    <w:multiLevelType w:val="multilevel"/>
    <w:tmpl w:val="07B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37514">
    <w:abstractNumId w:val="2"/>
  </w:num>
  <w:num w:numId="2" w16cid:durableId="325743975">
    <w:abstractNumId w:val="1"/>
  </w:num>
  <w:num w:numId="3" w16cid:durableId="398750827">
    <w:abstractNumId w:val="3"/>
  </w:num>
  <w:num w:numId="4" w16cid:durableId="162334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A0"/>
    <w:rsid w:val="00022620"/>
    <w:rsid w:val="0006464B"/>
    <w:rsid w:val="00081B6E"/>
    <w:rsid w:val="000845AE"/>
    <w:rsid w:val="00147B49"/>
    <w:rsid w:val="00160303"/>
    <w:rsid w:val="00205CB3"/>
    <w:rsid w:val="00213F5B"/>
    <w:rsid w:val="002322BF"/>
    <w:rsid w:val="0027414D"/>
    <w:rsid w:val="00282127"/>
    <w:rsid w:val="00287778"/>
    <w:rsid w:val="002E465D"/>
    <w:rsid w:val="002F6FA3"/>
    <w:rsid w:val="00313B0A"/>
    <w:rsid w:val="003237A8"/>
    <w:rsid w:val="003573CE"/>
    <w:rsid w:val="00363028"/>
    <w:rsid w:val="003800AF"/>
    <w:rsid w:val="00387F0F"/>
    <w:rsid w:val="003C2DE4"/>
    <w:rsid w:val="004F5AC7"/>
    <w:rsid w:val="00512C09"/>
    <w:rsid w:val="005505B3"/>
    <w:rsid w:val="005C380F"/>
    <w:rsid w:val="00636E0F"/>
    <w:rsid w:val="00640A60"/>
    <w:rsid w:val="00651C42"/>
    <w:rsid w:val="007B5532"/>
    <w:rsid w:val="007E2ECE"/>
    <w:rsid w:val="00830A12"/>
    <w:rsid w:val="00872E35"/>
    <w:rsid w:val="008B6D20"/>
    <w:rsid w:val="00984CA0"/>
    <w:rsid w:val="009B2258"/>
    <w:rsid w:val="00A122C9"/>
    <w:rsid w:val="00A6626C"/>
    <w:rsid w:val="00AA6FC1"/>
    <w:rsid w:val="00B4023D"/>
    <w:rsid w:val="00B5043D"/>
    <w:rsid w:val="00BC34A3"/>
    <w:rsid w:val="00BD256C"/>
    <w:rsid w:val="00C92EA2"/>
    <w:rsid w:val="00CF4110"/>
    <w:rsid w:val="00D27EC9"/>
    <w:rsid w:val="00D36E7E"/>
    <w:rsid w:val="00D76770"/>
    <w:rsid w:val="00D87258"/>
    <w:rsid w:val="00DF689A"/>
    <w:rsid w:val="00E14421"/>
    <w:rsid w:val="00EA4EEA"/>
    <w:rsid w:val="00FD6167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CF816"/>
  <w15:chartTrackingRefBased/>
  <w15:docId w15:val="{935DC372-5ABF-435C-9AF1-944663B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C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4EEA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C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C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5C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EA"/>
  </w:style>
  <w:style w:type="paragraph" w:styleId="Footer">
    <w:name w:val="footer"/>
    <w:basedOn w:val="Normal"/>
    <w:link w:val="FooterChar"/>
    <w:uiPriority w:val="99"/>
    <w:unhideWhenUsed/>
    <w:rsid w:val="00EA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viconference.net/wp-content/uploads/2024/08/UniSQ-Brisbane-Ground-Floor.pdf" TargetMode="External"/><Relationship Id="rId13" Type="http://schemas.openxmlformats.org/officeDocument/2006/relationships/hyperlink" Target="https://www.speviconference.net/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sq.edu.au/about-unisq/locations/brisbane" TargetMode="External"/><Relationship Id="rId12" Type="http://schemas.openxmlformats.org/officeDocument/2006/relationships/hyperlink" Target="https://youtu.be/LAtNeaxzHew?si=QrwIGmO_MO5CD8P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AtNeaxzHew?si=QrwIGmO_MO5CD8P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peviconference.net/registration/" TargetMode="External"/><Relationship Id="rId14" Type="http://schemas.openxmlformats.org/officeDocument/2006/relationships/hyperlink" Target="mailto:admin@speviconferenc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fff8a3-050f-428f-b966-cc56f581f9b1}" enabled="1" method="Standard" siteId="{7dfbfb93-19b6-4985-ac7e-501a3793845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Phia Damsma</dc:creator>
  <cp:keywords/>
  <dc:description/>
  <cp:lastModifiedBy>Carla Silveira</cp:lastModifiedBy>
  <cp:revision>8</cp:revision>
  <dcterms:created xsi:type="dcterms:W3CDTF">2024-07-10T03:26:00Z</dcterms:created>
  <dcterms:modified xsi:type="dcterms:W3CDTF">2024-08-26T06:57:00Z</dcterms:modified>
</cp:coreProperties>
</file>